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2A" w:rsidRDefault="0011252A" w:rsidP="0011252A">
      <w:pPr>
        <w:spacing w:line="360" w:lineRule="auto"/>
        <w:ind w:right="113"/>
        <w:jc w:val="center"/>
        <w:rPr>
          <w:b/>
          <w:sz w:val="32"/>
        </w:rPr>
      </w:pPr>
      <w:r>
        <w:rPr>
          <w:b/>
          <w:sz w:val="32"/>
        </w:rPr>
        <w:t>INFORMACJA DODATKOWA</w:t>
      </w:r>
    </w:p>
    <w:p w:rsidR="000315D5" w:rsidRDefault="000315D5" w:rsidP="00281F86">
      <w:pPr>
        <w:spacing w:line="360" w:lineRule="auto"/>
        <w:ind w:right="113"/>
        <w:rPr>
          <w:b/>
          <w:sz w:val="32"/>
        </w:rPr>
      </w:pPr>
      <w:bookmarkStart w:id="0" w:name="_GoBack"/>
      <w:bookmarkEnd w:id="0"/>
    </w:p>
    <w:p w:rsidR="0011252A" w:rsidRDefault="0011252A" w:rsidP="0011252A">
      <w:pPr>
        <w:spacing w:line="360" w:lineRule="auto"/>
        <w:ind w:right="113"/>
        <w:jc w:val="both"/>
      </w:pPr>
    </w:p>
    <w:p w:rsidR="000315D5" w:rsidRDefault="0011252A" w:rsidP="000315D5">
      <w:pPr>
        <w:spacing w:line="360" w:lineRule="auto"/>
        <w:ind w:right="113"/>
        <w:jc w:val="both"/>
        <w:outlineLvl w:val="0"/>
        <w:rPr>
          <w:b/>
          <w:sz w:val="28"/>
        </w:rPr>
      </w:pPr>
      <w:r>
        <w:rPr>
          <w:b/>
          <w:sz w:val="28"/>
        </w:rPr>
        <w:t>Wprowadzenie do sprawozdania finansowego</w:t>
      </w:r>
    </w:p>
    <w:p w:rsidR="00EC2C7B" w:rsidRDefault="00EC2C7B" w:rsidP="00EC2C7B">
      <w:pPr>
        <w:spacing w:line="360" w:lineRule="auto"/>
        <w:ind w:right="113"/>
        <w:jc w:val="both"/>
      </w:pPr>
    </w:p>
    <w:p w:rsidR="007118BB" w:rsidRDefault="007118BB" w:rsidP="002778C9">
      <w:pPr>
        <w:numPr>
          <w:ilvl w:val="0"/>
          <w:numId w:val="2"/>
        </w:numPr>
        <w:tabs>
          <w:tab w:val="clear" w:pos="720"/>
        </w:tabs>
        <w:spacing w:line="360" w:lineRule="auto"/>
        <w:ind w:right="113" w:hanging="720"/>
        <w:jc w:val="both"/>
      </w:pPr>
      <w:r>
        <w:t xml:space="preserve">Fundacja Twórcza Kobieta, z siedzibą w 04-368 Warszawa, ul. Grochowska </w:t>
      </w:r>
      <w:r w:rsidR="00A0752C">
        <w:t>244A/24</w:t>
      </w:r>
    </w:p>
    <w:p w:rsidR="00EC2C7B" w:rsidRPr="00EC2C7B" w:rsidRDefault="0012229B" w:rsidP="002778C9">
      <w:pPr>
        <w:numPr>
          <w:ilvl w:val="0"/>
          <w:numId w:val="2"/>
        </w:numPr>
        <w:tabs>
          <w:tab w:val="clear" w:pos="720"/>
        </w:tabs>
        <w:spacing w:line="360" w:lineRule="auto"/>
        <w:ind w:right="113" w:hanging="720"/>
        <w:jc w:val="both"/>
      </w:pPr>
      <w:r>
        <w:t>Fundacja realizuje następujące cele</w:t>
      </w:r>
      <w:r w:rsidR="00EC2C7B" w:rsidRPr="00EC2C7B">
        <w:t xml:space="preserve">: </w:t>
      </w:r>
    </w:p>
    <w:p w:rsidR="00706FCA" w:rsidRDefault="00706FCA" w:rsidP="00EC2C7B">
      <w:pPr>
        <w:spacing w:line="360" w:lineRule="auto"/>
        <w:ind w:right="113"/>
        <w:jc w:val="both"/>
      </w:pPr>
      <w:r>
        <w:t>Głównym celem Fundacji jest wszechstronna pomoc kobietom i rodzinie poprzez działalność dobroczynną, edukacyjną, kulturalną, charytatywną działalność z zakresu ochrony zdrowia oraz promocji zdrowia, a także pomocy społecznej.</w:t>
      </w:r>
    </w:p>
    <w:p w:rsidR="00706FCA" w:rsidRDefault="00706FCA" w:rsidP="00EC2C7B">
      <w:pPr>
        <w:spacing w:line="360" w:lineRule="auto"/>
        <w:ind w:right="113"/>
        <w:jc w:val="both"/>
      </w:pPr>
      <w:r>
        <w:t>Celami szczegółowymi Fundacji są:</w:t>
      </w:r>
    </w:p>
    <w:p w:rsidR="00EC2C7B" w:rsidRDefault="000B104C" w:rsidP="00706FCA">
      <w:pPr>
        <w:numPr>
          <w:ilvl w:val="0"/>
          <w:numId w:val="8"/>
        </w:numPr>
        <w:spacing w:line="360" w:lineRule="auto"/>
        <w:ind w:right="113"/>
        <w:jc w:val="both"/>
      </w:pPr>
      <w:r>
        <w:t>w</w:t>
      </w:r>
      <w:r w:rsidR="00706FCA">
        <w:t>spieranie rozwoju kobiet w realizacji do powoływania do przekazywania życia oraz do macierzyństwa, zarówno w sensie fizycznym, emocjonalnym, jak i duchowym;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wspieranie kobiet w budowaniu własnej tożsamości, w oparciu o poczucie odpowiedzialności za kolejne pokolenia i budowanie społeczeństwa opartego na prawdzie, uczciwości i miłości;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wspieranie rozwoju rodziny pojmowanej jako miejsce twórczego wzrastania zarówno dzieci, jak i rodziców;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wpieranie rodziny w poprawie jakości życia w wymiarze duchowym, psychologicznym, społecznym, zawodowym i ekonomicznym;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promowanie kształcenia ustawicznego kobiet; kształtowanie w kobietach postawy krytycznego obserwatora rzeczywistości oraz wskazywanie narzędzi do jej zmieniania;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przeciwdziałanie społecznej i zawodowej izolacji kobiet i rodziców;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wspieranie aktywności kobiet i rodziców na rzecz własnego rozwoju, w tym sposób szczególny wspieranie kobiet niezamężnych, matek i osób znajdujących się w kryzysie emocjonalnym oraz duchowym;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wspieranie osób z zaburzeniami psychicznymi, z uzależnieniami, osób współuzależnionych, oraz z doświadczeniami traumatycznymi;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wspieranie kobiet samotnie wychowujących dzieci;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lastRenderedPageBreak/>
        <w:t>przeciwdziałanie wykluczeniu społecznemu i zawodowemu kobiet z problemem niepełnosprawności swojej i/lub dzieci;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wspieranie kobiet w postawie odpowiedzialnego współmałżonka (żony);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wspieranie kobiet w postawie odpowiedzialnego rodzicielstwa (wychowanie do odpowiedzialności), w zgodzie za wartościami katolickimi;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 xml:space="preserve"> propagowanie modelu wspólnego pełnienia obowiązków opiekuńczych i domowych oraz wzmacnianie kobiet w postawie aktywnej i twórczej matki;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propagowanie idei pomocy wzajemnej i wsparcia środowiskowego;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działalność charytatywna, wychowawcza i edukacyjna w duchu katolickim;</w:t>
      </w:r>
    </w:p>
    <w:p w:rsidR="000B104C" w:rsidRDefault="000B104C" w:rsidP="000B104C">
      <w:pPr>
        <w:numPr>
          <w:ilvl w:val="0"/>
          <w:numId w:val="8"/>
        </w:numPr>
        <w:spacing w:line="360" w:lineRule="auto"/>
        <w:ind w:right="113"/>
        <w:jc w:val="both"/>
      </w:pPr>
      <w:r>
        <w:t>kształtowanie postaw działania zgodnie z zasadą zrównoważonego rozwoju.</w:t>
      </w:r>
    </w:p>
    <w:p w:rsidR="00EC2C7B" w:rsidRDefault="002778C9" w:rsidP="002778C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right="113" w:firstLine="0"/>
        <w:jc w:val="both"/>
      </w:pPr>
      <w:r>
        <w:t xml:space="preserve">     </w:t>
      </w:r>
      <w:r w:rsidR="0011252A">
        <w:t xml:space="preserve">Wpis do Rejestru </w:t>
      </w:r>
      <w:r w:rsidR="000315D5">
        <w:t>Stowarzyszeń, Innych Organizacji Społecznych i Zawodowych, Fundacji oraz Samodzielnych Publicznych Zakładów Opieki Zdrowotnej przez</w:t>
      </w:r>
      <w:r w:rsidR="0011252A">
        <w:t xml:space="preserve"> Sąd</w:t>
      </w:r>
      <w:r w:rsidR="000315D5">
        <w:t xml:space="preserve"> Rejonowy</w:t>
      </w:r>
      <w:r w:rsidR="0011252A">
        <w:t xml:space="preserve"> dla m.st</w:t>
      </w:r>
      <w:r w:rsidR="0012229B">
        <w:t>. Warszawy, XIII</w:t>
      </w:r>
      <w:r w:rsidR="0011252A">
        <w:t xml:space="preserve"> Wydział Gospodarczy Krajowego Rejest</w:t>
      </w:r>
      <w:r w:rsidR="007118BB">
        <w:t>ru Sądowego pod numerem KRS 0000470969</w:t>
      </w:r>
      <w:r w:rsidR="00F845F1">
        <w:t>.</w:t>
      </w:r>
    </w:p>
    <w:p w:rsidR="0011252A" w:rsidRDefault="000315D5" w:rsidP="002778C9">
      <w:pPr>
        <w:numPr>
          <w:ilvl w:val="0"/>
          <w:numId w:val="2"/>
        </w:numPr>
        <w:spacing w:line="360" w:lineRule="auto"/>
        <w:ind w:right="113" w:hanging="720"/>
        <w:jc w:val="both"/>
      </w:pPr>
      <w:r>
        <w:t>Fundacja</w:t>
      </w:r>
      <w:r w:rsidR="0011252A">
        <w:t xml:space="preserve"> została utworzona na czas nieokreślony.</w:t>
      </w:r>
    </w:p>
    <w:p w:rsidR="0011252A" w:rsidRDefault="0011252A" w:rsidP="0011252A">
      <w:pPr>
        <w:numPr>
          <w:ilvl w:val="0"/>
          <w:numId w:val="2"/>
        </w:numPr>
        <w:spacing w:line="360" w:lineRule="auto"/>
        <w:ind w:left="360" w:right="113"/>
        <w:jc w:val="both"/>
      </w:pPr>
      <w:r>
        <w:t>Sprawozdanie finansowe ob</w:t>
      </w:r>
      <w:r w:rsidR="007118BB">
        <w:t xml:space="preserve">ejmuje okres od </w:t>
      </w:r>
      <w:r w:rsidR="0093177B">
        <w:t>1 stycznia do</w:t>
      </w:r>
      <w:r w:rsidR="00812A49">
        <w:t xml:space="preserve"> 31 grudnia 201</w:t>
      </w:r>
      <w:r w:rsidR="0093177B">
        <w:t>5</w:t>
      </w:r>
      <w:r>
        <w:t xml:space="preserve"> roku.</w:t>
      </w:r>
    </w:p>
    <w:p w:rsidR="0012229B" w:rsidRDefault="0012229B" w:rsidP="0012229B">
      <w:pPr>
        <w:numPr>
          <w:ilvl w:val="0"/>
          <w:numId w:val="2"/>
        </w:numPr>
        <w:spacing w:line="360" w:lineRule="auto"/>
        <w:ind w:left="360" w:right="113"/>
        <w:jc w:val="both"/>
      </w:pPr>
      <w:r>
        <w:t>W okresie obrotowym członkami Zarządu były:</w:t>
      </w:r>
    </w:p>
    <w:p w:rsidR="0012229B" w:rsidRDefault="007118BB" w:rsidP="0012229B">
      <w:pPr>
        <w:spacing w:line="360" w:lineRule="auto"/>
        <w:ind w:right="113"/>
        <w:jc w:val="both"/>
      </w:pPr>
      <w:r>
        <w:t xml:space="preserve">  </w:t>
      </w:r>
      <w:r>
        <w:tab/>
        <w:t>- Pisula Agnieszka</w:t>
      </w:r>
      <w:r w:rsidR="0012229B">
        <w:t xml:space="preserve"> Prezes Zarządu</w:t>
      </w:r>
    </w:p>
    <w:p w:rsidR="0012229B" w:rsidRDefault="00867C94" w:rsidP="0012229B">
      <w:pPr>
        <w:spacing w:line="360" w:lineRule="auto"/>
        <w:ind w:right="113"/>
        <w:jc w:val="both"/>
      </w:pPr>
      <w:r>
        <w:t xml:space="preserve">           - </w:t>
      </w:r>
      <w:r w:rsidR="007118BB">
        <w:t xml:space="preserve">Renard </w:t>
      </w:r>
      <w:proofErr w:type="spellStart"/>
      <w:r w:rsidR="007118BB">
        <w:t>Hasik</w:t>
      </w:r>
      <w:proofErr w:type="spellEnd"/>
      <w:r w:rsidR="007118BB">
        <w:t xml:space="preserve"> Monika Maria- Wiceprezes Zarządu</w:t>
      </w:r>
    </w:p>
    <w:p w:rsidR="0011252A" w:rsidRDefault="0011252A" w:rsidP="0011252A">
      <w:pPr>
        <w:numPr>
          <w:ilvl w:val="0"/>
          <w:numId w:val="2"/>
        </w:numPr>
        <w:spacing w:line="360" w:lineRule="auto"/>
        <w:ind w:left="360" w:right="113"/>
        <w:jc w:val="both"/>
      </w:pPr>
      <w:r>
        <w:t xml:space="preserve">Sprawozdanie finansowe zostało sporządzone przy założeniu kontynuowania działalności gospodarczej przez </w:t>
      </w:r>
      <w:r w:rsidR="000315D5">
        <w:t>Fundację</w:t>
      </w:r>
      <w:r>
        <w:t xml:space="preserve"> w dającej się przewidzieć przyszłości, obejmującej okres nie krótszy niż jeden rok od dnia bilansowego, w nie zmniejszonym istotnie zakresie. Nie istnieją również okoliczności wskazujące na zagrożenie kontynuowania działalności.</w:t>
      </w:r>
    </w:p>
    <w:p w:rsidR="0011252A" w:rsidRPr="00F845F1" w:rsidRDefault="000315D5" w:rsidP="0011252A">
      <w:pPr>
        <w:numPr>
          <w:ilvl w:val="0"/>
          <w:numId w:val="2"/>
        </w:numPr>
        <w:spacing w:line="360" w:lineRule="auto"/>
        <w:ind w:left="360" w:right="113"/>
        <w:jc w:val="both"/>
      </w:pPr>
      <w:r>
        <w:t>Fundacja</w:t>
      </w:r>
      <w:r w:rsidR="0011252A" w:rsidRPr="00F845F1">
        <w:t xml:space="preserve"> nie spełnia warunków określonych w art. 64 ust. 1 punkt 4 u.</w:t>
      </w:r>
      <w:r w:rsidR="007118BB">
        <w:t xml:space="preserve"> </w:t>
      </w:r>
      <w:r w:rsidR="0011252A" w:rsidRPr="00F845F1">
        <w:t>o.</w:t>
      </w:r>
      <w:r w:rsidR="007118BB">
        <w:t xml:space="preserve"> </w:t>
      </w:r>
      <w:r w:rsidR="0011252A" w:rsidRPr="00F845F1">
        <w:t>r. w związku z czym nie sporządza sprawozdania z przepływów środków pieniężnych oraz zestawienia zmian w kapitale własnym.</w:t>
      </w:r>
    </w:p>
    <w:p w:rsidR="0011252A" w:rsidRDefault="0011252A" w:rsidP="0011252A">
      <w:pPr>
        <w:numPr>
          <w:ilvl w:val="0"/>
          <w:numId w:val="2"/>
        </w:numPr>
        <w:spacing w:line="360" w:lineRule="auto"/>
        <w:ind w:left="360" w:right="113"/>
        <w:jc w:val="both"/>
      </w:pPr>
      <w:r>
        <w:t xml:space="preserve">Sprawozdanie finansowe zostało przygotowane zgodnie z wymogami Ustawy z dnia 29 września 1994 roku o rachunkowości z późniejszymi zamianami obowiązującymi jednostki kontynuujące działalność. Nie występują na dzień dzisiejszy ani dające się przewidzieć w przyszłości okoliczności wskazujące na zagrożenie kontynuowania przez </w:t>
      </w:r>
      <w:r w:rsidR="000315D5">
        <w:t>fundację</w:t>
      </w:r>
      <w:r>
        <w:t xml:space="preserve"> działalności.</w:t>
      </w:r>
    </w:p>
    <w:p w:rsidR="0011252A" w:rsidRDefault="000315D5" w:rsidP="0011252A">
      <w:pPr>
        <w:numPr>
          <w:ilvl w:val="0"/>
          <w:numId w:val="2"/>
        </w:numPr>
        <w:spacing w:line="360" w:lineRule="auto"/>
        <w:ind w:left="360" w:right="113"/>
        <w:jc w:val="both"/>
      </w:pPr>
      <w:r>
        <w:t>Fundacja</w:t>
      </w:r>
      <w:r w:rsidR="0011252A">
        <w:t xml:space="preserve"> sporządza rachunek zysków</w:t>
      </w:r>
      <w:r w:rsidR="00706FCA">
        <w:t xml:space="preserve"> i strat w układzie kalkulacyjnym</w:t>
      </w:r>
      <w:r w:rsidR="0011252A">
        <w:t xml:space="preserve">. </w:t>
      </w:r>
    </w:p>
    <w:p w:rsidR="0011252A" w:rsidRDefault="0011252A" w:rsidP="0011252A">
      <w:pPr>
        <w:numPr>
          <w:ilvl w:val="0"/>
          <w:numId w:val="2"/>
        </w:numPr>
        <w:spacing w:line="360" w:lineRule="auto"/>
        <w:ind w:left="360" w:right="113"/>
        <w:jc w:val="both"/>
      </w:pPr>
      <w:r>
        <w:lastRenderedPageBreak/>
        <w:t xml:space="preserve">W sprawozdaniu finansowym </w:t>
      </w:r>
      <w:r w:rsidR="000315D5">
        <w:t>Fundacja</w:t>
      </w:r>
      <w:r>
        <w:t xml:space="preserve"> wykazuje zdarzenia gospodarcze zgodnie z ich treścią ekonomiczną. Wynik finansowy </w:t>
      </w:r>
      <w:r w:rsidR="000315D5">
        <w:t>Fundacji</w:t>
      </w:r>
      <w:r>
        <w:t xml:space="preserve"> za dany rok obrotowy obejmuje wszystkie osiągnięte i przypadające na jej rzecz przychody oraz związane z tymi przychodami koszty zgodnie z zasadami memoriału, współmierności przychodów i kosztów oraz ostrożnej wyceny.</w:t>
      </w:r>
    </w:p>
    <w:p w:rsidR="0011252A" w:rsidRDefault="0011252A" w:rsidP="0011252A">
      <w:pPr>
        <w:numPr>
          <w:ilvl w:val="0"/>
          <w:numId w:val="2"/>
        </w:numPr>
        <w:spacing w:line="360" w:lineRule="auto"/>
        <w:ind w:left="360" w:right="113"/>
        <w:jc w:val="both"/>
      </w:pPr>
      <w:r>
        <w:t xml:space="preserve">W okresie sprawozdawczym </w:t>
      </w:r>
      <w:r w:rsidR="00A0752C">
        <w:t>–</w:t>
      </w:r>
      <w:r>
        <w:t xml:space="preserve"> </w:t>
      </w:r>
      <w:r w:rsidR="009536A1">
        <w:t>2015</w:t>
      </w:r>
      <w:r>
        <w:t xml:space="preserve"> </w:t>
      </w:r>
      <w:r w:rsidR="000315D5">
        <w:t>fundacja</w:t>
      </w:r>
      <w:r>
        <w:t xml:space="preserve"> nie zmieni</w:t>
      </w:r>
      <w:r w:rsidR="00424C1D">
        <w:t>a</w:t>
      </w:r>
      <w:r>
        <w:t xml:space="preserve">ła zasad rachunkowości. </w:t>
      </w:r>
    </w:p>
    <w:p w:rsidR="0011252A" w:rsidRPr="00F845F1" w:rsidRDefault="0011252A" w:rsidP="0011252A">
      <w:pPr>
        <w:numPr>
          <w:ilvl w:val="0"/>
          <w:numId w:val="2"/>
        </w:numPr>
        <w:spacing w:line="360" w:lineRule="auto"/>
        <w:ind w:left="360" w:right="113"/>
        <w:jc w:val="both"/>
      </w:pPr>
      <w:r w:rsidRPr="00F845F1">
        <w:t>Jednostka w zakresie, w jakim ustawa pozostawia jednostce prawo wyboru, przyjęła i stosuje następujące zasady wyceny aktywów i pasywów oraz metody pomiaru wyniku finansowego:</w:t>
      </w:r>
    </w:p>
    <w:p w:rsidR="0011252A" w:rsidRDefault="0011252A" w:rsidP="0011252A">
      <w:pPr>
        <w:numPr>
          <w:ilvl w:val="1"/>
          <w:numId w:val="2"/>
        </w:numPr>
        <w:spacing w:line="360" w:lineRule="auto"/>
        <w:ind w:left="360" w:right="113"/>
        <w:jc w:val="both"/>
      </w:pPr>
      <w:r>
        <w:t>Należności długoterminowe, należności krótkoterminowe i roszczenia</w:t>
      </w:r>
    </w:p>
    <w:p w:rsidR="0011252A" w:rsidRDefault="0011252A" w:rsidP="0011252A">
      <w:pPr>
        <w:spacing w:line="360" w:lineRule="auto"/>
        <w:ind w:left="360" w:right="113"/>
        <w:jc w:val="both"/>
      </w:pPr>
      <w:r>
        <w:t>Należności długoterminowe, należności krótkoterminowe i roszczenia wycenia się w kwotach wymaganej zapłaty, z zachowaniem zasady ostrożnej wyceny.</w:t>
      </w:r>
    </w:p>
    <w:p w:rsidR="0011252A" w:rsidRDefault="0011252A" w:rsidP="0011252A">
      <w:pPr>
        <w:numPr>
          <w:ilvl w:val="1"/>
          <w:numId w:val="2"/>
        </w:numPr>
        <w:spacing w:line="360" w:lineRule="auto"/>
        <w:ind w:left="360" w:right="113"/>
        <w:jc w:val="both"/>
      </w:pPr>
      <w:r>
        <w:t>Środki pieniężne</w:t>
      </w:r>
    </w:p>
    <w:p w:rsidR="0011252A" w:rsidRDefault="0011252A" w:rsidP="0011252A">
      <w:pPr>
        <w:spacing w:line="360" w:lineRule="auto"/>
        <w:ind w:left="360" w:right="113"/>
        <w:jc w:val="both"/>
      </w:pPr>
      <w:r>
        <w:t>Obejmują potwierdzony drogą inwentaryzacji na dzień bilansowy stan krajowych i zagranicznych środków płatniczych posiadanych przez jednostkę na dany dzień w postaci gotówki (banknotów i monet) oraz środków zgromadzonych na rachunkach bankowych – z wyjątkiem zgromadzonych na rachunkach lokat terminowych, które są zaliczane do innych środków pieniężnych.</w:t>
      </w:r>
    </w:p>
    <w:p w:rsidR="0011252A" w:rsidRDefault="0011252A" w:rsidP="0011252A">
      <w:pPr>
        <w:spacing w:line="360" w:lineRule="auto"/>
        <w:ind w:left="360" w:right="113"/>
        <w:jc w:val="both"/>
      </w:pPr>
      <w:r>
        <w:t>Środki pieniężne wycenia się w wartości nominalnej.</w:t>
      </w:r>
    </w:p>
    <w:p w:rsidR="0011252A" w:rsidRDefault="0011252A" w:rsidP="0011252A">
      <w:pPr>
        <w:numPr>
          <w:ilvl w:val="1"/>
          <w:numId w:val="2"/>
        </w:numPr>
        <w:spacing w:line="360" w:lineRule="auto"/>
        <w:ind w:left="360" w:right="113"/>
        <w:jc w:val="both"/>
      </w:pPr>
      <w:r>
        <w:t>Krótkoterminowe rozliczenia międzyokresowe</w:t>
      </w:r>
    </w:p>
    <w:p w:rsidR="0011252A" w:rsidRDefault="0011252A" w:rsidP="0011252A">
      <w:pPr>
        <w:spacing w:line="360" w:lineRule="auto"/>
        <w:ind w:left="360" w:right="113"/>
        <w:jc w:val="both"/>
      </w:pPr>
      <w:r>
        <w:t>W pozycji krótkoterminowe rozliczenia międzyokresowe wykazuje się – w celu zapewnienia kompletności przychodów oraz współmierności związanych z nimi kosztów – stan na dzień bilansowy już poniesionych wydatków, ale stanowiących koszty dopiero przyszłego roku obrotowego.</w:t>
      </w:r>
    </w:p>
    <w:p w:rsidR="0011252A" w:rsidRDefault="0011252A" w:rsidP="0011252A">
      <w:pPr>
        <w:numPr>
          <w:ilvl w:val="1"/>
          <w:numId w:val="2"/>
        </w:numPr>
        <w:spacing w:line="360" w:lineRule="auto"/>
        <w:ind w:left="360" w:right="113"/>
        <w:jc w:val="both"/>
      </w:pPr>
      <w:r>
        <w:t>Kapitał (fundusz) własny</w:t>
      </w:r>
    </w:p>
    <w:p w:rsidR="0011252A" w:rsidRDefault="0011252A" w:rsidP="0011252A">
      <w:pPr>
        <w:spacing w:line="360" w:lineRule="auto"/>
        <w:ind w:left="360" w:right="113"/>
        <w:jc w:val="both"/>
      </w:pPr>
      <w:r>
        <w:t>Kapitały (fundusze) własne wykazuje się według stanu na dzień bilansowy, w wartości nominalnej, z podziałem na jego składniki.</w:t>
      </w:r>
    </w:p>
    <w:p w:rsidR="0011252A" w:rsidRDefault="0011252A" w:rsidP="0011252A">
      <w:pPr>
        <w:numPr>
          <w:ilvl w:val="1"/>
          <w:numId w:val="2"/>
        </w:numPr>
        <w:spacing w:line="360" w:lineRule="auto"/>
        <w:ind w:left="360" w:right="113"/>
        <w:jc w:val="both"/>
      </w:pPr>
      <w:r>
        <w:t>Zobowiązania krótko i długo terminowe</w:t>
      </w:r>
    </w:p>
    <w:p w:rsidR="000315D5" w:rsidRDefault="0011252A" w:rsidP="000315D5">
      <w:pPr>
        <w:spacing w:line="360" w:lineRule="auto"/>
        <w:ind w:left="360" w:right="113"/>
        <w:jc w:val="both"/>
      </w:pPr>
      <w:r>
        <w:t>Zobowiązania krótkoterminowe obejmują stan zadłużenia jednostki z wszelkich tytułów cywilnoprawnych i publicznoprawnych na dzień bilansowy – płatnych w złotych lub w walutach obcych – wymaganych w myśl aktualnych umów zapłaty najpóźniej do ostatniego dnia roku następującego po dniu bilansowym.</w:t>
      </w:r>
    </w:p>
    <w:p w:rsidR="009536A1" w:rsidRDefault="009536A1" w:rsidP="000315D5">
      <w:pPr>
        <w:spacing w:line="360" w:lineRule="auto"/>
        <w:ind w:left="360" w:right="113"/>
        <w:jc w:val="both"/>
      </w:pPr>
    </w:p>
    <w:p w:rsidR="00867C94" w:rsidRDefault="00867C94" w:rsidP="000315D5">
      <w:pPr>
        <w:spacing w:line="360" w:lineRule="auto"/>
        <w:ind w:left="360" w:right="113"/>
        <w:jc w:val="both"/>
      </w:pPr>
    </w:p>
    <w:p w:rsidR="00867C94" w:rsidRDefault="00B2629D" w:rsidP="00867C94">
      <w:pPr>
        <w:spacing w:line="360" w:lineRule="auto"/>
        <w:ind w:left="360" w:right="113"/>
        <w:jc w:val="both"/>
      </w:pPr>
      <w:r>
        <w:lastRenderedPageBreak/>
        <w:t xml:space="preserve">Sporządzono: </w:t>
      </w:r>
    </w:p>
    <w:p w:rsidR="00B2629D" w:rsidRDefault="009536A1" w:rsidP="00867C94">
      <w:pPr>
        <w:spacing w:line="360" w:lineRule="auto"/>
        <w:ind w:left="360" w:right="113"/>
        <w:jc w:val="both"/>
      </w:pPr>
      <w:r>
        <w:t>Warszawa, 01.03.2016</w:t>
      </w:r>
      <w:r w:rsidR="00A0752C">
        <w:t xml:space="preserve"> r.</w:t>
      </w:r>
    </w:p>
    <w:p w:rsidR="0012229B" w:rsidRDefault="0012229B" w:rsidP="00B2629D">
      <w:pPr>
        <w:pStyle w:val="NormalnyWeb"/>
      </w:pPr>
    </w:p>
    <w:p w:rsidR="0012229B" w:rsidRDefault="0012229B" w:rsidP="00B2629D">
      <w:pPr>
        <w:pStyle w:val="NormalnyWeb"/>
      </w:pPr>
    </w:p>
    <w:p w:rsidR="00B2629D" w:rsidRDefault="00B2629D" w:rsidP="00B2629D">
      <w:pPr>
        <w:pStyle w:val="NormalnyWeb"/>
        <w:rPr>
          <w:sz w:val="20"/>
        </w:rPr>
      </w:pPr>
      <w:r>
        <w:rPr>
          <w:sz w:val="20"/>
        </w:rPr>
        <w:t>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</w:t>
      </w:r>
    </w:p>
    <w:p w:rsidR="00B2629D" w:rsidRDefault="00B2629D" w:rsidP="00B2629D">
      <w:pPr>
        <w:pStyle w:val="NormalnyWeb"/>
      </w:pPr>
      <w:r>
        <w:t>(nazwisko i imię, podpis osoby sporządzającej)</w:t>
      </w:r>
      <w:r>
        <w:tab/>
      </w:r>
      <w:r>
        <w:tab/>
        <w:t>(nazwisko i imię, podpis</w:t>
      </w:r>
      <w:r w:rsidR="00F845F1">
        <w:t xml:space="preserve"> </w:t>
      </w:r>
      <w:r w:rsidR="00F845F1">
        <w:tab/>
      </w:r>
      <w:r w:rsidR="00F845F1">
        <w:tab/>
      </w:r>
      <w:r w:rsidR="00F845F1">
        <w:tab/>
      </w:r>
      <w:r w:rsidR="00F845F1">
        <w:tab/>
      </w:r>
      <w:r w:rsidR="00F845F1">
        <w:tab/>
      </w:r>
      <w:r w:rsidR="00F845F1">
        <w:tab/>
      </w:r>
      <w:r w:rsidR="00F845F1">
        <w:tab/>
      </w:r>
      <w:r w:rsidR="00F845F1">
        <w:tab/>
      </w:r>
      <w:r w:rsidR="00F845F1">
        <w:tab/>
      </w:r>
      <w:r w:rsidR="00F845F1">
        <w:tab/>
        <w:t>k</w:t>
      </w:r>
      <w:r>
        <w:t>ierownika jednostki)</w:t>
      </w:r>
    </w:p>
    <w:sectPr w:rsidR="00B2629D" w:rsidSect="008C5AF6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EC" w:rsidRDefault="00EF31EC">
      <w:r>
        <w:separator/>
      </w:r>
    </w:p>
  </w:endnote>
  <w:endnote w:type="continuationSeparator" w:id="0">
    <w:p w:rsidR="00EF31EC" w:rsidRDefault="00EF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25" w:rsidRDefault="00731525" w:rsidP="008D64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1525" w:rsidRDefault="00731525" w:rsidP="007315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25" w:rsidRDefault="00731525" w:rsidP="008D64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F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31525" w:rsidRDefault="00731525" w:rsidP="007315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EC" w:rsidRDefault="00EF31EC">
      <w:r>
        <w:separator/>
      </w:r>
    </w:p>
  </w:footnote>
  <w:footnote w:type="continuationSeparator" w:id="0">
    <w:p w:rsidR="00EF31EC" w:rsidRDefault="00EF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9C0"/>
    <w:multiLevelType w:val="hybridMultilevel"/>
    <w:tmpl w:val="F65CBC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E62BA9"/>
    <w:multiLevelType w:val="hybridMultilevel"/>
    <w:tmpl w:val="3BD81EA2"/>
    <w:lvl w:ilvl="0" w:tplc="874E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26E2B"/>
    <w:multiLevelType w:val="multilevel"/>
    <w:tmpl w:val="3BD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874E7"/>
    <w:multiLevelType w:val="hybridMultilevel"/>
    <w:tmpl w:val="6E0AF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642CB"/>
    <w:multiLevelType w:val="multilevel"/>
    <w:tmpl w:val="0138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87C68"/>
    <w:multiLevelType w:val="multilevel"/>
    <w:tmpl w:val="6E0A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F6B14"/>
    <w:multiLevelType w:val="hybridMultilevel"/>
    <w:tmpl w:val="E72E6012"/>
    <w:lvl w:ilvl="0" w:tplc="231A07BA">
      <w:start w:val="1"/>
      <w:numFmt w:val="bullet"/>
      <w:lvlText w:val="-"/>
      <w:lvlJc w:val="left"/>
      <w:pPr>
        <w:ind w:left="153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2997CD3"/>
    <w:multiLevelType w:val="multilevel"/>
    <w:tmpl w:val="C500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2A"/>
    <w:rsid w:val="000315D5"/>
    <w:rsid w:val="00084229"/>
    <w:rsid w:val="000B104C"/>
    <w:rsid w:val="000F305A"/>
    <w:rsid w:val="0011252A"/>
    <w:rsid w:val="0012229B"/>
    <w:rsid w:val="00163123"/>
    <w:rsid w:val="002778C9"/>
    <w:rsid w:val="00281F86"/>
    <w:rsid w:val="002D4D85"/>
    <w:rsid w:val="003164C0"/>
    <w:rsid w:val="00330A58"/>
    <w:rsid w:val="00424C1D"/>
    <w:rsid w:val="004306A6"/>
    <w:rsid w:val="004F65B2"/>
    <w:rsid w:val="00522948"/>
    <w:rsid w:val="005B50E4"/>
    <w:rsid w:val="00696058"/>
    <w:rsid w:val="00706FCA"/>
    <w:rsid w:val="007118BB"/>
    <w:rsid w:val="00731525"/>
    <w:rsid w:val="0074073E"/>
    <w:rsid w:val="00745ED5"/>
    <w:rsid w:val="007D6BE0"/>
    <w:rsid w:val="00812A49"/>
    <w:rsid w:val="00867C94"/>
    <w:rsid w:val="008C5AF6"/>
    <w:rsid w:val="008D64AD"/>
    <w:rsid w:val="00913758"/>
    <w:rsid w:val="0093177B"/>
    <w:rsid w:val="009536A1"/>
    <w:rsid w:val="00A0752C"/>
    <w:rsid w:val="00A224A1"/>
    <w:rsid w:val="00A94E30"/>
    <w:rsid w:val="00AB3DE6"/>
    <w:rsid w:val="00B2629D"/>
    <w:rsid w:val="00B26F00"/>
    <w:rsid w:val="00BD132C"/>
    <w:rsid w:val="00CA04BA"/>
    <w:rsid w:val="00CF5C6C"/>
    <w:rsid w:val="00D17737"/>
    <w:rsid w:val="00DA3712"/>
    <w:rsid w:val="00E71522"/>
    <w:rsid w:val="00EB1B8E"/>
    <w:rsid w:val="00EC2C7B"/>
    <w:rsid w:val="00EF31EC"/>
    <w:rsid w:val="00F845F1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52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2629D"/>
    <w:pPr>
      <w:spacing w:before="100" w:beforeAutospacing="1" w:after="100" w:afterAutospacing="1"/>
    </w:pPr>
  </w:style>
  <w:style w:type="paragraph" w:styleId="Stopka">
    <w:name w:val="footer"/>
    <w:basedOn w:val="Normalny"/>
    <w:rsid w:val="007315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525"/>
  </w:style>
  <w:style w:type="paragraph" w:styleId="Tekstdymka">
    <w:name w:val="Balloon Text"/>
    <w:basedOn w:val="Normalny"/>
    <w:semiHidden/>
    <w:rsid w:val="00AB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C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ny"/>
    <w:rsid w:val="00867C94"/>
    <w:pPr>
      <w:ind w:left="720"/>
      <w:contextualSpacing/>
    </w:pPr>
    <w:rPr>
      <w:rFonts w:ascii="Cambria" w:eastAsia="MS Mincho" w:hAnsi="Cambria" w:cs="Cambria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52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2629D"/>
    <w:pPr>
      <w:spacing w:before="100" w:beforeAutospacing="1" w:after="100" w:afterAutospacing="1"/>
    </w:pPr>
  </w:style>
  <w:style w:type="paragraph" w:styleId="Stopka">
    <w:name w:val="footer"/>
    <w:basedOn w:val="Normalny"/>
    <w:rsid w:val="007315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525"/>
  </w:style>
  <w:style w:type="paragraph" w:styleId="Tekstdymka">
    <w:name w:val="Balloon Text"/>
    <w:basedOn w:val="Normalny"/>
    <w:semiHidden/>
    <w:rsid w:val="00AB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C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ny"/>
    <w:rsid w:val="00867C94"/>
    <w:pPr>
      <w:ind w:left="720"/>
      <w:contextualSpacing/>
    </w:pPr>
    <w:rPr>
      <w:rFonts w:ascii="Cambria" w:eastAsia="MS Mincho" w:hAnsi="Cambria" w:cs="Cambr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Jarosław Sowa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Biuro</dc:creator>
  <cp:lastModifiedBy>Monika</cp:lastModifiedBy>
  <cp:revision>3</cp:revision>
  <cp:lastPrinted>2014-03-27T08:22:00Z</cp:lastPrinted>
  <dcterms:created xsi:type="dcterms:W3CDTF">2016-06-13T20:24:00Z</dcterms:created>
  <dcterms:modified xsi:type="dcterms:W3CDTF">2016-06-13T20:25:00Z</dcterms:modified>
</cp:coreProperties>
</file>